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Treść"/>
        <w:spacing w:line="360" w:lineRule="auto"/>
        <w:rPr>
          <w:rFonts w:ascii="Times New Roman" w:cs="Times New Roman" w:hAnsi="Times New Roman" w:eastAsia="Times New Roman"/>
          <w:b w:val="1"/>
          <w:bCs w:val="1"/>
        </w:rPr>
      </w:pPr>
      <w:r>
        <w:rPr>
          <w:rFonts w:ascii="Times New Roman" w:hAnsi="Times New Roman"/>
          <w:b w:val="1"/>
          <w:bCs w:val="1"/>
          <w:rtl w:val="0"/>
          <w:lang w:val="en-US"/>
        </w:rPr>
        <w:t>Reading with the Ears and Dancing with words: The Melodic Fusion of Literature, Music, and Literacy learning in Early Childhood</w:t>
      </w:r>
    </w:p>
    <w:p>
      <w:pPr>
        <w:pStyle w:val="Treść"/>
        <w:spacing w:line="360" w:lineRule="auto"/>
        <w:rPr>
          <w:rFonts w:ascii="Times New Roman" w:cs="Times New Roman" w:hAnsi="Times New Roman" w:eastAsia="Times New Roman"/>
        </w:rPr>
      </w:pPr>
    </w:p>
    <w:p>
      <w:pPr>
        <w:pStyle w:val="Treść"/>
        <w:spacing w:line="360" w:lineRule="auto"/>
        <w:rPr>
          <w:rFonts w:ascii="Times New Roman" w:cs="Times New Roman" w:hAnsi="Times New Roman" w:eastAsia="Times New Roman"/>
        </w:rPr>
      </w:pPr>
      <w:r>
        <w:rPr>
          <w:rFonts w:ascii="Times New Roman" w:hAnsi="Times New Roman"/>
          <w:rtl w:val="0"/>
          <w:lang w:val="en-US"/>
        </w:rPr>
        <w:t>From East to West and North to South, no countries in the world do not have lullabies or nursery rhymes. These are the infused forms of music and literature that the humans are exposed to right from birth or as embryos. The interplay between music and literature is a significant cultural phenomenon that has shaped human expression and communication across space and time. Both forms of expression offer rich avenues for emotional expression, storytelling, and cultural transmission. In educational settings, particularly in primary education, the integration of literature and music offers a powerful tool for cognitive and language development, cultural literacy, and emotional growth (Hallam, 2010). This introductory essay examines the relationship between literature in music and music in literature and discusses how these interactions contribute to language and literacy development and the broader educational experience of young children.</w:t>
      </w:r>
    </w:p>
    <w:p>
      <w:pPr>
        <w:pStyle w:val="Treść"/>
        <w:spacing w:line="360" w:lineRule="auto"/>
        <w:rPr>
          <w:rFonts w:ascii="Times New Roman" w:cs="Times New Roman" w:hAnsi="Times New Roman" w:eastAsia="Times New Roman"/>
        </w:rPr>
      </w:pPr>
    </w:p>
    <w:p>
      <w:pPr>
        <w:pStyle w:val="Treść"/>
        <w:spacing w:line="360" w:lineRule="auto"/>
        <w:rPr>
          <w:rFonts w:ascii="Times New Roman" w:cs="Times New Roman" w:hAnsi="Times New Roman" w:eastAsia="Times New Roman"/>
          <w:b w:val="1"/>
          <w:bCs w:val="1"/>
        </w:rPr>
      </w:pPr>
      <w:r>
        <w:rPr>
          <w:rFonts w:ascii="Times New Roman" w:hAnsi="Times New Roman"/>
          <w:b w:val="1"/>
          <w:bCs w:val="1"/>
          <w:rtl w:val="0"/>
          <w:lang w:val="en-US"/>
        </w:rPr>
        <w:t>Literature in Music</w:t>
      </w:r>
    </w:p>
    <w:p>
      <w:pPr>
        <w:pStyle w:val="Treść"/>
        <w:spacing w:line="360" w:lineRule="auto"/>
        <w:rPr>
          <w:rFonts w:ascii="Times New Roman" w:cs="Times New Roman" w:hAnsi="Times New Roman" w:eastAsia="Times New Roman"/>
        </w:rPr>
      </w:pPr>
      <w:r>
        <w:rPr>
          <w:rFonts w:ascii="Times New Roman" w:hAnsi="Times New Roman"/>
          <w:rtl w:val="0"/>
          <w:lang w:val="en-US"/>
        </w:rPr>
        <w:t>Literature in music refers to the practice of setting words</w:t>
      </w:r>
      <w:r>
        <w:rPr>
          <w:rFonts w:ascii="Times New Roman" w:hAnsi="Times New Roman" w:hint="default"/>
          <w:rtl w:val="0"/>
          <w:lang w:val="en-US"/>
        </w:rPr>
        <w:t>—</w:t>
      </w:r>
      <w:r>
        <w:rPr>
          <w:rFonts w:ascii="Times New Roman" w:hAnsi="Times New Roman"/>
          <w:rtl w:val="0"/>
          <w:lang w:val="en-US"/>
        </w:rPr>
        <w:t>poetry, prose, or narrative texts</w:t>
      </w:r>
      <w:r>
        <w:rPr>
          <w:rFonts w:ascii="Times New Roman" w:hAnsi="Times New Roman" w:hint="default"/>
          <w:rtl w:val="0"/>
          <w:lang w:val="en-US"/>
        </w:rPr>
        <w:t>—</w:t>
      </w:r>
      <w:r>
        <w:rPr>
          <w:rFonts w:ascii="Times New Roman" w:hAnsi="Times New Roman"/>
          <w:rtl w:val="0"/>
          <w:lang w:val="en-US"/>
        </w:rPr>
        <w:t>to music, creating an art form that merges linguistic and musical expression. This practice is evident in numerous genres, including nursery rhymes, children's songs, operas, and musical theater, where literature is inseparable from music. In the context of young children</w:t>
      </w:r>
      <w:r>
        <w:rPr>
          <w:rFonts w:ascii="Times New Roman" w:hAnsi="Times New Roman" w:hint="default"/>
          <w:rtl w:val="0"/>
          <w:lang w:val="en-US"/>
        </w:rPr>
        <w:t>’</w:t>
      </w:r>
      <w:r>
        <w:rPr>
          <w:rFonts w:ascii="Times New Roman" w:hAnsi="Times New Roman"/>
          <w:rtl w:val="0"/>
          <w:lang w:val="en-US"/>
        </w:rPr>
        <w:t>s language development, literature in music has particular relevance. Lullabies, nursery rhymes and chants are some of the earliest exposures to language for children. These musical forms often feature repetitive patterns, rhythmic structures, and rhyming words that help children develop phonological awareness</w:t>
      </w:r>
      <w:r>
        <w:rPr>
          <w:rFonts w:ascii="Times New Roman" w:hAnsi="Times New Roman" w:hint="default"/>
          <w:rtl w:val="0"/>
          <w:lang w:val="en-US"/>
        </w:rPr>
        <w:t>—</w:t>
      </w:r>
      <w:r>
        <w:rPr>
          <w:rFonts w:ascii="Times New Roman" w:hAnsi="Times New Roman"/>
          <w:rtl w:val="0"/>
          <w:lang w:val="en-US"/>
        </w:rPr>
        <w:t>one of the foundational skills necessary for reading and writing. For example, the repetition of sounds in a rhyme like "Twinkle, Twinkle, Little Star" not only captures a child</w:t>
      </w:r>
      <w:r>
        <w:rPr>
          <w:rFonts w:ascii="Times New Roman" w:hAnsi="Times New Roman" w:hint="default"/>
          <w:rtl w:val="0"/>
          <w:lang w:val="en-US"/>
        </w:rPr>
        <w:t>’</w:t>
      </w:r>
      <w:r>
        <w:rPr>
          <w:rFonts w:ascii="Times New Roman" w:hAnsi="Times New Roman"/>
          <w:rtl w:val="0"/>
          <w:lang w:val="en-US"/>
        </w:rPr>
        <w:t>s attention but also reinforces their understanding of sound patterns, which is critical for later language acquisition (Goswami &amp; Bryant, 2016).</w:t>
      </w:r>
    </w:p>
    <w:p>
      <w:pPr>
        <w:pStyle w:val="Treść"/>
        <w:spacing w:line="360" w:lineRule="auto"/>
        <w:rPr>
          <w:rFonts w:ascii="Times New Roman" w:cs="Times New Roman" w:hAnsi="Times New Roman" w:eastAsia="Times New Roman"/>
        </w:rPr>
      </w:pPr>
    </w:p>
    <w:p>
      <w:pPr>
        <w:pStyle w:val="Treść"/>
        <w:spacing w:line="360" w:lineRule="auto"/>
        <w:rPr>
          <w:rFonts w:ascii="Times New Roman" w:cs="Times New Roman" w:hAnsi="Times New Roman" w:eastAsia="Times New Roman"/>
        </w:rPr>
      </w:pPr>
      <w:r>
        <w:rPr>
          <w:rFonts w:ascii="Times New Roman" w:hAnsi="Times New Roman"/>
          <w:rtl w:val="0"/>
          <w:lang w:val="en-US"/>
        </w:rPr>
        <w:t xml:space="preserve">Music enhances the emotional and mnemonic impact of the literary content, making it easier for children to internalize vocabulary, narrative structures, and linguistic patterns (Gardiner et al., 1996). Songs and rhymes also introduce children to a multitude of literary devices albeit in simple forms such as alliteration and onomatopoeia (e.g., in </w:t>
      </w:r>
      <w:r>
        <w:rPr>
          <w:rFonts w:ascii="Times New Roman" w:hAnsi="Times New Roman"/>
          <w:i w:val="1"/>
          <w:iCs w:val="1"/>
          <w:u w:val="single"/>
          <w:rtl w:val="0"/>
        </w:rPr>
        <w:t>B</w:t>
      </w:r>
      <w:r>
        <w:rPr>
          <w:rFonts w:ascii="Times New Roman" w:hAnsi="Times New Roman"/>
          <w:i w:val="1"/>
          <w:iCs w:val="1"/>
          <w:rtl w:val="0"/>
        </w:rPr>
        <w:t xml:space="preserve">aa </w:t>
      </w:r>
      <w:r>
        <w:rPr>
          <w:rFonts w:ascii="Times New Roman" w:hAnsi="Times New Roman"/>
          <w:i w:val="1"/>
          <w:iCs w:val="1"/>
          <w:u w:val="single"/>
          <w:rtl w:val="0"/>
        </w:rPr>
        <w:t>B</w:t>
      </w:r>
      <w:r>
        <w:rPr>
          <w:rFonts w:ascii="Times New Roman" w:hAnsi="Times New Roman"/>
          <w:i w:val="1"/>
          <w:iCs w:val="1"/>
          <w:rtl w:val="0"/>
        </w:rPr>
        <w:t xml:space="preserve">aa </w:t>
      </w:r>
      <w:r>
        <w:rPr>
          <w:rFonts w:ascii="Times New Roman" w:hAnsi="Times New Roman"/>
          <w:i w:val="1"/>
          <w:iCs w:val="1"/>
          <w:u w:val="single"/>
          <w:rtl w:val="0"/>
        </w:rPr>
        <w:t>B</w:t>
      </w:r>
      <w:r>
        <w:rPr>
          <w:rFonts w:ascii="Times New Roman" w:hAnsi="Times New Roman"/>
          <w:i w:val="1"/>
          <w:iCs w:val="1"/>
          <w:rtl w:val="0"/>
          <w:lang w:val="en-US"/>
        </w:rPr>
        <w:t>lack Sheep</w:t>
      </w:r>
      <w:r>
        <w:rPr>
          <w:rFonts w:ascii="Times New Roman" w:hAnsi="Times New Roman"/>
          <w:rtl w:val="0"/>
          <w:lang w:val="it-IT"/>
        </w:rPr>
        <w:t xml:space="preserve">), metaphor (e.g., in </w:t>
      </w:r>
      <w:r>
        <w:rPr>
          <w:rFonts w:ascii="Times New Roman" w:hAnsi="Times New Roman"/>
          <w:i w:val="1"/>
          <w:iCs w:val="1"/>
          <w:rtl w:val="0"/>
          <w:lang w:val="en-US"/>
        </w:rPr>
        <w:t>You are my sunshine</w:t>
      </w:r>
      <w:r>
        <w:rPr>
          <w:rFonts w:ascii="Times New Roman" w:hAnsi="Times New Roman"/>
          <w:rtl w:val="0"/>
          <w:lang w:val="it-IT"/>
        </w:rPr>
        <w:t xml:space="preserve">), simile (e.g., </w:t>
      </w:r>
      <w:r>
        <w:rPr>
          <w:rFonts w:ascii="Times New Roman" w:hAnsi="Times New Roman"/>
          <w:i w:val="1"/>
          <w:iCs w:val="1"/>
          <w:rtl w:val="0"/>
          <w:lang w:val="en-US"/>
        </w:rPr>
        <w:t xml:space="preserve">Its fleece as white as snow in </w:t>
      </w:r>
      <w:r>
        <w:rPr>
          <w:rFonts w:ascii="Times New Roman" w:hAnsi="Times New Roman"/>
          <w:rtl w:val="0"/>
          <w:lang w:val="en-US"/>
        </w:rPr>
        <w:t xml:space="preserve">Mary had a little lamb), repetition (e.g., in </w:t>
      </w:r>
      <w:r>
        <w:rPr>
          <w:rFonts w:ascii="Times New Roman" w:hAnsi="Times New Roman"/>
          <w:i w:val="1"/>
          <w:iCs w:val="1"/>
          <w:rtl w:val="0"/>
          <w:lang w:val="en-US"/>
        </w:rPr>
        <w:t>Row, row, row your boat</w:t>
      </w:r>
      <w:r>
        <w:rPr>
          <w:rFonts w:ascii="Times New Roman" w:hAnsi="Times New Roman"/>
          <w:rtl w:val="0"/>
          <w:lang w:val="en-US"/>
        </w:rPr>
        <w:t xml:space="preserve">) and imagery (e.g., in </w:t>
      </w:r>
      <w:r>
        <w:rPr>
          <w:rFonts w:ascii="Times New Roman" w:hAnsi="Times New Roman"/>
          <w:i w:val="1"/>
          <w:iCs w:val="1"/>
          <w:rtl w:val="0"/>
          <w:lang w:val="en-US"/>
        </w:rPr>
        <w:t>Twinkle, twinkle little stars</w:t>
      </w:r>
      <w:r>
        <w:rPr>
          <w:rFonts w:ascii="Times New Roman" w:hAnsi="Times New Roman"/>
          <w:rtl w:val="0"/>
          <w:lang w:val="en-US"/>
        </w:rPr>
        <w:t>). Through this exposure, children begin to grasp abstract concepts, develop their vocabulary, and gain early literacy skills in an engaging and enjoyable way.</w:t>
      </w:r>
    </w:p>
    <w:p>
      <w:pPr>
        <w:pStyle w:val="Treść"/>
        <w:spacing w:line="360" w:lineRule="auto"/>
        <w:rPr>
          <w:rFonts w:ascii="Times New Roman" w:cs="Times New Roman" w:hAnsi="Times New Roman" w:eastAsia="Times New Roman"/>
        </w:rPr>
      </w:pPr>
    </w:p>
    <w:p>
      <w:pPr>
        <w:pStyle w:val="Treść"/>
        <w:spacing w:line="360" w:lineRule="auto"/>
        <w:rPr>
          <w:rFonts w:ascii="Times New Roman" w:cs="Times New Roman" w:hAnsi="Times New Roman" w:eastAsia="Times New Roman"/>
          <w:b w:val="1"/>
          <w:bCs w:val="1"/>
        </w:rPr>
      </w:pPr>
      <w:r>
        <w:rPr>
          <w:rFonts w:ascii="Times New Roman" w:hAnsi="Times New Roman"/>
          <w:b w:val="1"/>
          <w:bCs w:val="1"/>
          <w:rtl w:val="0"/>
          <w:lang w:val="en-US"/>
        </w:rPr>
        <w:t>Music in literature</w:t>
      </w:r>
    </w:p>
    <w:p>
      <w:pPr>
        <w:pStyle w:val="Treść"/>
        <w:spacing w:line="360" w:lineRule="auto"/>
        <w:rPr>
          <w:rFonts w:ascii="Times New Roman" w:cs="Times New Roman" w:hAnsi="Times New Roman" w:eastAsia="Times New Roman"/>
        </w:rPr>
      </w:pPr>
      <w:r>
        <w:rPr>
          <w:rFonts w:ascii="Times New Roman" w:hAnsi="Times New Roman"/>
          <w:rtl w:val="0"/>
          <w:lang w:val="en-US"/>
        </w:rPr>
        <w:t xml:space="preserve">The most distinctive features of music are rhythm, melody and timbre. Modern concept of literature also includes multimodal digital forms such as films and music videos. In these forms, music, no doubt, plays a crucial role in story-telling (Ngo &amp; Unsworth, forthcoming). Literature in the form of poems and short stories are also extremely musical. You can almost dance with the words and walk short and steady steps (/ short rest; // long rest) with the beats (*) as you read </w:t>
      </w:r>
      <w:r>
        <w:rPr>
          <w:rFonts w:ascii="Times New Roman" w:hAnsi="Times New Roman"/>
          <w:i w:val="1"/>
          <w:iCs w:val="1"/>
          <w:rtl w:val="0"/>
          <w:lang w:val="en-US"/>
        </w:rPr>
        <w:t>The Gruffalo</w:t>
      </w:r>
      <w:r>
        <w:rPr>
          <w:rFonts w:ascii="Times New Roman" w:hAnsi="Times New Roman"/>
          <w:rtl w:val="0"/>
        </w:rPr>
        <w:t xml:space="preserve"> by Julia Donaldson aloud:</w:t>
      </w:r>
    </w:p>
    <w:p>
      <w:pPr>
        <w:pStyle w:val="Treść"/>
        <w:spacing w:line="360" w:lineRule="auto"/>
        <w:ind w:left="720" w:firstLine="0"/>
        <w:rPr>
          <w:rFonts w:ascii="Times New Roman" w:cs="Times New Roman" w:hAnsi="Times New Roman" w:eastAsia="Times New Roman"/>
          <w:i w:val="1"/>
          <w:iCs w:val="1"/>
        </w:rPr>
      </w:pPr>
      <w:r>
        <w:rPr>
          <w:rFonts w:ascii="Times New Roman" w:hAnsi="Times New Roman"/>
          <w:i w:val="1"/>
          <w:iCs w:val="1"/>
          <w:rtl w:val="0"/>
          <w:lang w:val="en-US"/>
        </w:rPr>
        <w:t>A *mouse/ took a *stroll/ through the *deep/ *dark/ *wood//.</w:t>
      </w:r>
    </w:p>
    <w:p>
      <w:pPr>
        <w:pStyle w:val="Treść"/>
        <w:spacing w:line="360" w:lineRule="auto"/>
        <w:ind w:left="720" w:firstLine="0"/>
        <w:rPr>
          <w:rFonts w:ascii="Times New Roman" w:cs="Times New Roman" w:hAnsi="Times New Roman" w:eastAsia="Times New Roman"/>
          <w:i w:val="1"/>
          <w:iCs w:val="1"/>
        </w:rPr>
      </w:pPr>
      <w:r>
        <w:rPr>
          <w:rFonts w:ascii="Times New Roman" w:hAnsi="Times New Roman"/>
          <w:i w:val="1"/>
          <w:iCs w:val="1"/>
          <w:rtl w:val="0"/>
          <w:lang w:val="en-US"/>
        </w:rPr>
        <w:t>A *fox/ saw the *mouse/ and the *mouse/ *looked/ *good//.</w:t>
      </w:r>
    </w:p>
    <w:p>
      <w:pPr>
        <w:pStyle w:val="Treść"/>
        <w:spacing w:line="360" w:lineRule="auto"/>
        <w:rPr>
          <w:rFonts w:ascii="Times New Roman" w:cs="Times New Roman" w:hAnsi="Times New Roman" w:eastAsia="Times New Roman"/>
        </w:rPr>
      </w:pPr>
    </w:p>
    <w:p>
      <w:pPr>
        <w:pStyle w:val="Treść"/>
        <w:spacing w:line="360" w:lineRule="auto"/>
        <w:rPr>
          <w:rFonts w:ascii="Times New Roman" w:cs="Times New Roman" w:hAnsi="Times New Roman" w:eastAsia="Times New Roman"/>
        </w:rPr>
      </w:pPr>
      <w:r>
        <w:rPr>
          <w:rFonts w:ascii="Times New Roman" w:hAnsi="Times New Roman"/>
          <w:rtl w:val="0"/>
          <w:lang w:val="en-US"/>
        </w:rPr>
        <w:t>The up and down pitch contour (or intonation) of the reader</w:t>
      </w:r>
      <w:r>
        <w:rPr>
          <w:rFonts w:ascii="Times New Roman" w:hAnsi="Times New Roman" w:hint="default"/>
          <w:rtl w:val="0"/>
          <w:lang w:val="en-US"/>
        </w:rPr>
        <w:t>’</w:t>
      </w:r>
      <w:r>
        <w:rPr>
          <w:rFonts w:ascii="Times New Roman" w:hAnsi="Times New Roman"/>
          <w:rtl w:val="0"/>
          <w:lang w:val="en-US"/>
        </w:rPr>
        <w:t xml:space="preserve">s voice creates the melody of the line, particularly when the story reaches its climax. The climax in </w:t>
      </w:r>
      <w:r>
        <w:rPr>
          <w:rFonts w:ascii="Times New Roman" w:hAnsi="Times New Roman"/>
          <w:i w:val="1"/>
          <w:iCs w:val="1"/>
          <w:rtl w:val="0"/>
          <w:lang w:val="en-US"/>
        </w:rPr>
        <w:t>The Very Cranky Bear</w:t>
      </w:r>
      <w:r>
        <w:rPr>
          <w:rFonts w:ascii="Times New Roman" w:hAnsi="Times New Roman"/>
          <w:rtl w:val="0"/>
          <w:lang w:val="en-US"/>
        </w:rPr>
        <w:t xml:space="preserve"> by Nick Bland would be read with Rise-Fall (R/F) melody and fast pace (no rest) to express dramatic moments; with tense, breathy and vibrato timbre to vocally represent the characters</w:t>
      </w:r>
      <w:r>
        <w:rPr>
          <w:rFonts w:ascii="Times New Roman" w:hAnsi="Times New Roman" w:hint="default"/>
          <w:rtl w:val="0"/>
          <w:lang w:val="en-US"/>
        </w:rPr>
        <w:t>’</w:t>
      </w:r>
      <w:r>
        <w:rPr>
          <w:rFonts w:ascii="Times New Roman" w:hAnsi="Times New Roman"/>
          <w:rtl w:val="0"/>
          <w:lang w:val="en-US"/>
        </w:rPr>
        <w:t xml:space="preserve"> fright; and with long rests (// // //) in the middle of a sentence or clause to create suspense. </w:t>
      </w:r>
    </w:p>
    <w:p>
      <w:pPr>
        <w:pStyle w:val="Treść"/>
        <w:spacing w:line="360" w:lineRule="auto"/>
        <w:rPr>
          <w:rFonts w:ascii="Times New Roman" w:cs="Times New Roman" w:hAnsi="Times New Roman" w:eastAsia="Times New Roman"/>
        </w:rPr>
      </w:pPr>
    </w:p>
    <w:p>
      <w:pPr>
        <w:pStyle w:val="Treść"/>
        <w:spacing w:line="360" w:lineRule="auto"/>
        <w:ind w:left="720" w:firstLine="0"/>
        <w:rPr>
          <w:rFonts w:ascii="Times New Roman" w:cs="Times New Roman" w:hAnsi="Times New Roman" w:eastAsia="Times New Roman"/>
          <w:i w:val="1"/>
          <w:iCs w:val="1"/>
        </w:rPr>
      </w:pPr>
      <w:r>
        <w:rPr>
          <w:rFonts w:ascii="Times New Roman" w:hAnsi="Times New Roman"/>
          <w:i w:val="1"/>
          <w:iCs w:val="1"/>
          <w:rtl w:val="0"/>
          <w:lang w:val="en-US"/>
        </w:rPr>
        <w:t>Zebra, Lion and Moose ran *out and Bear was *right (R) behind them// (F).</w:t>
      </w:r>
    </w:p>
    <w:p>
      <w:pPr>
        <w:pStyle w:val="Treść"/>
        <w:spacing w:line="360" w:lineRule="auto"/>
        <w:ind w:left="720" w:firstLine="0"/>
        <w:rPr>
          <w:rFonts w:ascii="Times New Roman" w:cs="Times New Roman" w:hAnsi="Times New Roman" w:eastAsia="Times New Roman"/>
          <w:i w:val="1"/>
          <w:iCs w:val="1"/>
        </w:rPr>
      </w:pPr>
      <w:r>
        <w:rPr>
          <w:rFonts w:ascii="Times New Roman" w:hAnsi="Times New Roman"/>
          <w:i w:val="1"/>
          <w:iCs w:val="1"/>
          <w:rtl w:val="0"/>
          <w:lang w:val="en-US"/>
        </w:rPr>
        <w:t>They hid behind the *bushes// // // where they hoped // // // he *wouldn</w:t>
      </w:r>
      <w:r>
        <w:rPr>
          <w:rFonts w:ascii="Times New Roman" w:hAnsi="Times New Roman" w:hint="default"/>
          <w:i w:val="1"/>
          <w:iCs w:val="1"/>
          <w:rtl w:val="0"/>
          <w:lang w:val="en-US"/>
        </w:rPr>
        <w:t>’</w:t>
      </w:r>
      <w:r>
        <w:rPr>
          <w:rFonts w:ascii="Times New Roman" w:hAnsi="Times New Roman"/>
          <w:i w:val="1"/>
          <w:iCs w:val="1"/>
          <w:rtl w:val="0"/>
          <w:lang w:val="en-US"/>
        </w:rPr>
        <w:t>t// // // * find them//.</w:t>
      </w:r>
    </w:p>
    <w:p>
      <w:pPr>
        <w:pStyle w:val="Treść"/>
        <w:spacing w:line="360" w:lineRule="auto"/>
        <w:rPr>
          <w:rFonts w:ascii="Times New Roman" w:cs="Times New Roman" w:hAnsi="Times New Roman" w:eastAsia="Times New Roman"/>
        </w:rPr>
      </w:pPr>
      <w:r>
        <w:rPr>
          <w:rFonts w:ascii="Times New Roman" w:hAnsi="Times New Roman"/>
          <w:rtl w:val="0"/>
          <w:lang w:val="en-US"/>
        </w:rPr>
        <w:t>The timbre in the reader</w:t>
      </w:r>
      <w:r>
        <w:rPr>
          <w:rFonts w:ascii="Times New Roman" w:hAnsi="Times New Roman" w:hint="default"/>
          <w:rtl w:val="0"/>
          <w:lang w:val="en-US"/>
        </w:rPr>
        <w:t>’</w:t>
      </w:r>
      <w:r>
        <w:rPr>
          <w:rFonts w:ascii="Times New Roman" w:hAnsi="Times New Roman"/>
          <w:rtl w:val="0"/>
          <w:lang w:val="en-US"/>
        </w:rPr>
        <w:t>s voice provides children with an additional auditory cue that helps them follow the narrative stages. Calm slow voice is usually used for the Orientation stage, easing the reader into the exposition of story. Dramatic voice as in the Cranky Bear example above provides hints of tension and rising actions. Happy and relaxed voice can signify the falling actions and resolution (Ngo et al., 2022). This musicality in literature and literature reading assists children in developing prosody, the rhythm and intonation of speech, which is the demonstration of children</w:t>
      </w:r>
      <w:r>
        <w:rPr>
          <w:rFonts w:ascii="Times New Roman" w:hAnsi="Times New Roman" w:hint="default"/>
          <w:rtl w:val="0"/>
          <w:lang w:val="en-US"/>
        </w:rPr>
        <w:t>’</w:t>
      </w:r>
      <w:r>
        <w:rPr>
          <w:rFonts w:ascii="Times New Roman" w:hAnsi="Times New Roman"/>
          <w:rtl w:val="0"/>
          <w:lang w:val="en-US"/>
        </w:rPr>
        <w:t xml:space="preserve">s Reading Comprehension and a key element of Reading Fluency. </w:t>
      </w:r>
    </w:p>
    <w:p>
      <w:pPr>
        <w:pStyle w:val="Domyślne A"/>
        <w:spacing w:before="0" w:line="360" w:lineRule="auto"/>
        <w:rPr>
          <w:rFonts w:ascii="Times New Roman" w:cs="Times New Roman" w:hAnsi="Times New Roman" w:eastAsia="Times New Roman"/>
        </w:rPr>
      </w:pPr>
      <w:r>
        <w:rPr>
          <w:rFonts w:ascii="Times New Roman" w:hAnsi="Times New Roman"/>
          <w:rtl w:val="0"/>
          <w:lang w:val="en-US"/>
        </w:rPr>
        <w:t xml:space="preserve">The current journal issue, </w:t>
      </w:r>
      <w:r>
        <w:rPr>
          <w:rFonts w:ascii="Times New Roman" w:hAnsi="Times New Roman"/>
          <w:i w:val="1"/>
          <w:iCs w:val="1"/>
          <w:outline w:val="0"/>
          <w:color w:val="000000"/>
          <w:u w:color="000000"/>
          <w:rtl w:val="0"/>
          <w:lang w:val="en-US"/>
          <w14:textFill>
            <w14:solidFill>
              <w14:srgbClr w14:val="000000">
                <w14:alpha w14:val="12941"/>
              </w14:srgbClr>
            </w14:solidFill>
          </w14:textFill>
        </w:rPr>
        <w:t>Literature and music in children's education</w:t>
      </w:r>
      <w:r>
        <w:rPr>
          <w:rFonts w:ascii="Times New Roman" w:hAnsi="Times New Roman"/>
          <w:outline w:val="0"/>
          <w:color w:val="000000"/>
          <w:u w:color="000000"/>
          <w:rtl w:val="0"/>
          <w:lang w:val="en-US"/>
          <w14:textFill>
            <w14:solidFill>
              <w14:srgbClr w14:val="000000">
                <w14:alpha w14:val="12941"/>
              </w14:srgbClr>
            </w14:solidFill>
          </w14:textFill>
        </w:rPr>
        <w:t xml:space="preserve">, is among a very few international fora that brings scholars from East and West, North and South together for discussion of this very interesting matter in language, literature and literacy education in primary years. </w:t>
      </w:r>
      <w:r>
        <w:rPr>
          <w:rFonts w:ascii="Times New Roman" w:hAnsi="Times New Roman" w:hint="default"/>
          <w:outline w:val="0"/>
          <w:color w:val="000000"/>
          <w:u w:color="000000"/>
          <w:rtl w:val="0"/>
          <w:lang w:val="en-US"/>
          <w14:textFill>
            <w14:solidFill>
              <w14:srgbClr w14:val="000000">
                <w14:alpha w14:val="12941"/>
              </w14:srgbClr>
            </w14:solidFill>
          </w14:textFill>
        </w:rPr>
        <w:t>‘</w:t>
      </w:r>
      <w:r>
        <w:rPr>
          <w:rFonts w:ascii="Times New Roman" w:hAnsi="Times New Roman"/>
          <w:rtl w:val="0"/>
          <w:lang w:val="en-US"/>
        </w:rPr>
        <w:t>Reading with the ears and dancing with words</w:t>
      </w:r>
      <w:r>
        <w:rPr>
          <w:rFonts w:ascii="Times New Roman" w:hAnsi="Times New Roman" w:hint="default"/>
          <w:rtl w:val="0"/>
          <w:lang w:val="en-US"/>
        </w:rPr>
        <w:t xml:space="preserve">’ </w:t>
      </w:r>
      <w:r>
        <w:rPr>
          <w:rFonts w:ascii="Times New Roman" w:hAnsi="Times New Roman"/>
          <w:rtl w:val="0"/>
          <w:lang w:val="en-US"/>
        </w:rPr>
        <w:t>does not sound illogical at all. It is because we can hear music when reading literature and we can dance with words in music.</w:t>
      </w:r>
    </w:p>
    <w:p>
      <w:pPr>
        <w:pStyle w:val="Domyślne A"/>
        <w:spacing w:before="0" w:line="360" w:lineRule="auto"/>
        <w:rPr>
          <w:rFonts w:ascii="Times New Roman" w:cs="Times New Roman" w:hAnsi="Times New Roman" w:eastAsia="Times New Roman"/>
          <w:b w:val="1"/>
          <w:bCs w:val="1"/>
        </w:rPr>
      </w:pPr>
      <w:r>
        <w:rPr>
          <w:rFonts w:ascii="Times New Roman" w:hAnsi="Times New Roman"/>
          <w:b w:val="1"/>
          <w:bCs w:val="1"/>
          <w:rtl w:val="0"/>
          <w:lang w:val="en-US"/>
        </w:rPr>
        <w:t>References</w:t>
      </w:r>
    </w:p>
    <w:p>
      <w:pPr>
        <w:pStyle w:val="Treść"/>
        <w:rPr>
          <w:rFonts w:ascii="Times New Roman" w:cs="Times New Roman" w:hAnsi="Times New Roman" w:eastAsia="Times New Roman"/>
        </w:rPr>
      </w:pPr>
    </w:p>
    <w:p>
      <w:pPr>
        <w:pStyle w:val="Treść"/>
        <w:rPr>
          <w:rFonts w:ascii="Times New Roman" w:cs="Times New Roman" w:hAnsi="Times New Roman" w:eastAsia="Times New Roman"/>
        </w:rPr>
      </w:pPr>
      <w:r>
        <w:rPr>
          <w:rFonts w:ascii="Times New Roman" w:hAnsi="Times New Roman"/>
          <w:rtl w:val="0"/>
          <w:lang w:val="en-US"/>
        </w:rPr>
        <w:t xml:space="preserve">Gardiner, M. F., Fox, A., Knowles, F., &amp; Jeffrey, D. (1996). Learning improved by arts training. </w:t>
      </w:r>
      <w:r>
        <w:rPr>
          <w:rFonts w:ascii="Times New Roman" w:hAnsi="Times New Roman"/>
          <w:i w:val="1"/>
          <w:iCs w:val="1"/>
          <w:rtl w:val="0"/>
          <w:lang w:val="fr-FR"/>
        </w:rPr>
        <w:t>Nature</w:t>
      </w:r>
      <w:r>
        <w:rPr>
          <w:rFonts w:ascii="Times New Roman" w:hAnsi="Times New Roman"/>
          <w:rtl w:val="0"/>
        </w:rPr>
        <w:t>, 381(6580), 284.</w:t>
      </w:r>
    </w:p>
    <w:p>
      <w:pPr>
        <w:pStyle w:val="Domyślne A"/>
        <w:spacing w:before="0" w:line="240" w:lineRule="auto"/>
        <w:rPr>
          <w:rFonts w:ascii="Times New Roman" w:cs="Times New Roman" w:hAnsi="Times New Roman" w:eastAsia="Times New Roman"/>
        </w:rPr>
      </w:pPr>
    </w:p>
    <w:p>
      <w:pPr>
        <w:pStyle w:val="Domyślne A"/>
        <w:spacing w:before="0" w:line="240" w:lineRule="auto"/>
        <w:rPr>
          <w:rFonts w:ascii="Times New Roman" w:cs="Times New Roman" w:hAnsi="Times New Roman" w:eastAsia="Times New Roman"/>
        </w:rPr>
      </w:pPr>
      <w:r>
        <w:rPr>
          <w:rFonts w:ascii="Times New Roman" w:hAnsi="Times New Roman"/>
          <w:rtl w:val="0"/>
          <w:lang w:val="en-US"/>
        </w:rPr>
        <w:t xml:space="preserve">Goswami, U., &amp; Bryant, P. (2016). </w:t>
      </w:r>
      <w:r>
        <w:rPr>
          <w:rFonts w:ascii="Times New Roman" w:hAnsi="Times New Roman"/>
          <w:i w:val="1"/>
          <w:iCs w:val="1"/>
          <w:rtl w:val="0"/>
          <w:lang w:val="en-US"/>
        </w:rPr>
        <w:t>Phonological skills and learning to read</w:t>
      </w:r>
      <w:r>
        <w:rPr>
          <w:rFonts w:ascii="Times New Roman" w:hAnsi="Times New Roman"/>
          <w:rtl w:val="0"/>
          <w:lang w:val="en-US"/>
        </w:rPr>
        <w:t>. Routledge.</w:t>
      </w:r>
    </w:p>
    <w:p>
      <w:pPr>
        <w:pStyle w:val="Domyślne A"/>
        <w:spacing w:before="0" w:line="240" w:lineRule="auto"/>
        <w:rPr>
          <w:rFonts w:ascii="Times New Roman" w:cs="Times New Roman" w:hAnsi="Times New Roman" w:eastAsia="Times New Roman"/>
        </w:rPr>
      </w:pPr>
    </w:p>
    <w:p>
      <w:pPr>
        <w:pStyle w:val="Treść"/>
        <w:rPr>
          <w:rFonts w:ascii="Times New Roman" w:cs="Times New Roman" w:hAnsi="Times New Roman" w:eastAsia="Times New Roman"/>
        </w:rPr>
      </w:pPr>
      <w:r>
        <w:rPr>
          <w:rFonts w:ascii="Times New Roman" w:hAnsi="Times New Roman"/>
          <w:rtl w:val="0"/>
          <w:lang w:val="en-US"/>
        </w:rPr>
        <w:t xml:space="preserve">Hallam, S. (2010). The power of music: Its impact on the intellectual, social and personal development of children and young people. </w:t>
      </w:r>
      <w:r>
        <w:rPr>
          <w:rFonts w:ascii="Times New Roman" w:hAnsi="Times New Roman"/>
          <w:i w:val="1"/>
          <w:iCs w:val="1"/>
          <w:rtl w:val="0"/>
          <w:lang w:val="en-US"/>
        </w:rPr>
        <w:t>International Journal of Music Education</w:t>
      </w:r>
      <w:r>
        <w:rPr>
          <w:rFonts w:ascii="Times New Roman" w:hAnsi="Times New Roman"/>
          <w:rtl w:val="0"/>
        </w:rPr>
        <w:t>, 28(3), 269-289.</w:t>
      </w:r>
    </w:p>
    <w:p>
      <w:pPr>
        <w:pStyle w:val="Domyślne A"/>
        <w:spacing w:before="0" w:line="240" w:lineRule="auto"/>
        <w:rPr>
          <w:rFonts w:ascii="Times New Roman" w:cs="Times New Roman" w:hAnsi="Times New Roman" w:eastAsia="Times New Roman"/>
          <w:outline w:val="0"/>
          <w:color w:val="000000"/>
          <w:u w:color="000000"/>
          <w14:textFill>
            <w14:solidFill>
              <w14:srgbClr w14:val="000000">
                <w14:alpha w14:val="12941"/>
              </w14:srgbClr>
            </w14:solidFill>
          </w14:textFill>
        </w:rPr>
      </w:pPr>
    </w:p>
    <w:p>
      <w:pPr>
        <w:pStyle w:val="EndNote Bibliography"/>
        <w:rPr>
          <w:rFonts w:ascii="Times New Roman" w:cs="Times New Roman" w:hAnsi="Times New Roman" w:eastAsia="Times New Roman"/>
        </w:rPr>
      </w:pPr>
      <w:r>
        <w:rPr>
          <w:rFonts w:ascii="Times New Roman" w:hAnsi="Times New Roman"/>
          <w:rtl w:val="0"/>
          <w:lang w:val="en-US"/>
        </w:rPr>
        <w:t xml:space="preserve">Ngo, T., Hood, S., Martin, J. R., Painter, C., Smith, B., &amp; Zappavigna, M. (2022). </w:t>
      </w:r>
      <w:r>
        <w:rPr>
          <w:rFonts w:ascii="Times New Roman" w:hAnsi="Times New Roman"/>
          <w:i w:val="1"/>
          <w:iCs w:val="1"/>
          <w:rtl w:val="0"/>
          <w:lang w:val="en-US"/>
        </w:rPr>
        <w:t>Modelling paralanguage from the perspective of Systemic Functional Semiotics: Theory and application</w:t>
      </w:r>
      <w:r>
        <w:rPr>
          <w:rFonts w:ascii="Times New Roman" w:hAnsi="Times New Roman"/>
          <w:rtl w:val="0"/>
          <w:lang w:val="en-US"/>
        </w:rPr>
        <w:t>. London: UK: Bloomsburry.</w:t>
      </w:r>
    </w:p>
    <w:p>
      <w:pPr>
        <w:pStyle w:val="Domyślne A"/>
        <w:spacing w:before="0" w:line="240" w:lineRule="auto"/>
        <w:rPr>
          <w:rFonts w:ascii="Times New Roman" w:cs="Times New Roman" w:hAnsi="Times New Roman" w:eastAsia="Times New Roman"/>
          <w:outline w:val="0"/>
          <w:color w:val="000000"/>
          <w:u w:color="000000"/>
          <w14:textFill>
            <w14:solidFill>
              <w14:srgbClr w14:val="000000">
                <w14:alpha w14:val="12941"/>
              </w14:srgbClr>
            </w14:solidFill>
          </w14:textFill>
        </w:rPr>
      </w:pPr>
    </w:p>
    <w:p>
      <w:pPr>
        <w:pStyle w:val="EndNote Bibliography"/>
        <w:ind w:left="720" w:hanging="720"/>
        <w:rPr>
          <w:rFonts w:ascii="Times New Roman" w:cs="Times New Roman" w:hAnsi="Times New Roman" w:eastAsia="Times New Roman"/>
        </w:rPr>
      </w:pPr>
      <w:r>
        <w:rPr>
          <w:rFonts w:ascii="Times New Roman" w:hAnsi="Times New Roman"/>
          <w:rtl w:val="0"/>
          <w:lang w:val="en-US"/>
        </w:rPr>
        <w:t>Ngo, T., &amp; Unsworth, L. (forthcoming).</w:t>
      </w:r>
      <w:r>
        <w:rPr>
          <w:rFonts w:ascii="Times New Roman" w:hAnsi="Times New Roman"/>
          <w:i w:val="1"/>
          <w:iCs w:val="1"/>
          <w:rtl w:val="0"/>
          <w:lang w:val="en-US"/>
        </w:rPr>
        <w:t xml:space="preserve"> Digital Multimodal Adaptations of Children</w:t>
      </w:r>
      <w:r>
        <w:rPr>
          <w:rFonts w:ascii="Times New Roman" w:hAnsi="Times New Roman" w:hint="default"/>
          <w:i w:val="1"/>
          <w:iCs w:val="1"/>
          <w:rtl w:val="0"/>
          <w:lang w:val="en-US"/>
        </w:rPr>
        <w:t>’</w:t>
      </w:r>
      <w:r>
        <w:rPr>
          <w:rFonts w:ascii="Times New Roman" w:hAnsi="Times New Roman"/>
          <w:i w:val="1"/>
          <w:iCs w:val="1"/>
          <w:rtl w:val="0"/>
          <w:lang w:val="en-US"/>
        </w:rPr>
        <w:t>s Literature: Semiotic Analyses and Classroom Applications</w:t>
      </w:r>
      <w:r>
        <w:rPr>
          <w:rFonts w:ascii="Times New Roman" w:hAnsi="Times New Roman"/>
          <w:rtl w:val="0"/>
          <w:lang w:val="en-US"/>
        </w:rPr>
        <w:t>: Routledge.</w:t>
      </w:r>
    </w:p>
    <w:p>
      <w:pPr>
        <w:pStyle w:val="Domyślne A"/>
        <w:spacing w:before="0" w:line="240" w:lineRule="auto"/>
        <w:rPr>
          <w:rFonts w:ascii="Times New Roman" w:cs="Times New Roman" w:hAnsi="Times New Roman" w:eastAsia="Times New Roman"/>
          <w:outline w:val="0"/>
          <w:color w:val="000000"/>
          <w14:textFill>
            <w14:solidFill>
              <w14:srgbClr w14:val="000000">
                <w14:alpha w14:val="12941"/>
              </w14:srgbClr>
            </w14:solidFill>
          </w14:textFill>
        </w:rPr>
      </w:pPr>
    </w:p>
    <w:p>
      <w:pPr>
        <w:pStyle w:val="Domyślne A"/>
        <w:spacing w:before="0" w:line="240" w:lineRule="auto"/>
        <w:rPr>
          <w:rFonts w:ascii="Times New Roman" w:cs="Times New Roman" w:hAnsi="Times New Roman" w:eastAsia="Times New Roman"/>
          <w:outline w:val="0"/>
          <w:color w:val="000000"/>
          <w14:textFill>
            <w14:solidFill>
              <w14:srgbClr w14:val="000000">
                <w14:alpha w14:val="12941"/>
              </w14:srgbClr>
            </w14:solidFill>
          </w14:textFill>
        </w:rPr>
      </w:pPr>
    </w:p>
    <w:p>
      <w:pPr>
        <w:pStyle w:val="Domyślne A"/>
        <w:spacing w:before="0" w:line="240" w:lineRule="auto"/>
        <w:rPr>
          <w:rFonts w:ascii="Times New Roman" w:cs="Times New Roman" w:hAnsi="Times New Roman" w:eastAsia="Times New Roman"/>
          <w:outline w:val="0"/>
          <w:color w:val="000000"/>
          <w14:textFill>
            <w14:solidFill>
              <w14:srgbClr w14:val="000000">
                <w14:alpha w14:val="12941"/>
              </w14:srgbClr>
            </w14:solidFill>
          </w14:textFill>
        </w:rPr>
      </w:pPr>
    </w:p>
    <w:p>
      <w:pPr>
        <w:pStyle w:val="Domyślne A"/>
        <w:spacing w:before="0" w:line="240" w:lineRule="auto"/>
        <w:rPr>
          <w:rFonts w:ascii="Times New Roman" w:cs="Times New Roman" w:hAnsi="Times New Roman" w:eastAsia="Times New Roman"/>
          <w:outline w:val="0"/>
          <w:color w:val="000000"/>
          <w14:textFill>
            <w14:solidFill>
              <w14:srgbClr w14:val="000000">
                <w14:alpha w14:val="12941"/>
              </w14:srgbClr>
            </w14:solidFill>
          </w14:textFill>
        </w:rPr>
      </w:pPr>
    </w:p>
    <w:p>
      <w:pPr>
        <w:pStyle w:val="Domyślne A"/>
        <w:spacing w:before="0" w:line="240" w:lineRule="auto"/>
        <w:rPr>
          <w:rFonts w:ascii="Times New Roman" w:cs="Times New Roman" w:hAnsi="Times New Roman" w:eastAsia="Times New Roman"/>
          <w:outline w:val="0"/>
          <w:color w:val="000000"/>
          <w14:textFill>
            <w14:solidFill>
              <w14:srgbClr w14:val="000000">
                <w14:alpha w14:val="12941"/>
              </w14:srgbClr>
            </w14:solidFill>
          </w14:textFill>
        </w:rPr>
      </w:pPr>
      <w:r>
        <w:rPr>
          <w:rFonts w:ascii="Times New Roman" w:hAnsi="Times New Roman"/>
          <w:outline w:val="0"/>
          <w:color w:val="000000"/>
          <w:rtl w:val="0"/>
          <w14:textFill>
            <w14:solidFill>
              <w14:srgbClr w14:val="000000">
                <w14:alpha w14:val="12941"/>
              </w14:srgbClr>
            </w14:solidFill>
          </w14:textFill>
        </w:rPr>
        <w:t>Thu Ngo, Ph.D</w:t>
      </w:r>
    </w:p>
    <w:p>
      <w:pPr>
        <w:pStyle w:val="Domyślne"/>
        <w:bidi w:val="0"/>
        <w:spacing w:before="0" w:line="240" w:lineRule="auto"/>
        <w:ind w:left="0" w:right="0" w:firstLine="0"/>
        <w:jc w:val="left"/>
        <w:rPr>
          <w:rFonts w:ascii="Times New Roman" w:cs="Times New Roman" w:hAnsi="Times New Roman" w:eastAsia="Times New Roman"/>
          <w:outline w:val="0"/>
          <w:color w:val="242424"/>
          <w:shd w:val="clear" w:color="auto" w:fill="ffffff"/>
          <w:rtl w:val="0"/>
          <w14:textFill>
            <w14:solidFill>
              <w14:srgbClr w14:val="242424"/>
            </w14:solidFill>
          </w14:textFill>
        </w:rPr>
      </w:pPr>
      <w:r>
        <w:rPr>
          <w:rFonts w:ascii="Times New Roman" w:hAnsi="Times New Roman"/>
          <w:outline w:val="0"/>
          <w:color w:val="242424"/>
          <w:shd w:val="clear" w:color="auto" w:fill="ffffff"/>
          <w:rtl w:val="0"/>
          <w:lang w:val="en-US"/>
          <w14:textFill>
            <w14:solidFill>
              <w14:srgbClr w14:val="242424"/>
            </w14:solidFill>
          </w14:textFill>
        </w:rPr>
        <w:t>The University of New South Wales, Sydney</w:t>
      </w:r>
    </w:p>
    <w:p>
      <w:pPr>
        <w:pStyle w:val="Domyślne"/>
        <w:bidi w:val="0"/>
        <w:spacing w:before="0" w:line="240" w:lineRule="auto"/>
        <w:ind w:left="0" w:right="0" w:firstLine="0"/>
        <w:jc w:val="left"/>
        <w:rPr>
          <w:rFonts w:ascii="Times New Roman" w:cs="Times New Roman" w:hAnsi="Times New Roman" w:eastAsia="Times New Roman"/>
          <w:outline w:val="0"/>
          <w:color w:val="0072b4"/>
          <w:shd w:val="clear" w:color="auto" w:fill="ffffff"/>
          <w:rtl w:val="0"/>
          <w14:textFill>
            <w14:solidFill>
              <w14:srgbClr w14:val="0072B5"/>
            </w14:solidFill>
          </w14:textFill>
        </w:rPr>
      </w:pPr>
      <w:r>
        <w:rPr>
          <w:rFonts w:ascii="Times New Roman" w:hAnsi="Times New Roman"/>
          <w:outline w:val="0"/>
          <w:color w:val="0072b4"/>
          <w:shd w:val="clear" w:color="auto" w:fill="ffffff"/>
          <w:rtl w:val="0"/>
          <w14:textFill>
            <w14:solidFill>
              <w14:srgbClr w14:val="0072B5"/>
            </w14:solidFill>
          </w14:textFill>
        </w:rPr>
        <w:t xml:space="preserve">ORCID: </w:t>
      </w:r>
      <w:r>
        <w:rPr>
          <w:rFonts w:ascii="Times New Roman" w:cs="Times New Roman" w:hAnsi="Times New Roman" w:eastAsia="Times New Roman"/>
          <w:outline w:val="0"/>
          <w:color w:val="0072b4"/>
          <w:shd w:val="clear" w:color="auto" w:fill="ffffff"/>
          <w:rtl w:val="0"/>
          <w14:textFill>
            <w14:solidFill>
              <w14:srgbClr w14:val="0072B5"/>
            </w14:solidFill>
          </w14:textFill>
        </w:rPr>
        <w:fldChar w:fldCharType="begin" w:fldLock="0"/>
      </w:r>
      <w:r>
        <w:rPr>
          <w:rFonts w:ascii="Times New Roman" w:cs="Times New Roman" w:hAnsi="Times New Roman" w:eastAsia="Times New Roman"/>
          <w:outline w:val="0"/>
          <w:color w:val="0072b4"/>
          <w:shd w:val="clear" w:color="auto" w:fill="ffffff"/>
          <w:rtl w:val="0"/>
          <w14:textFill>
            <w14:solidFill>
              <w14:srgbClr w14:val="0072B5"/>
            </w14:solidFill>
          </w14:textFill>
        </w:rPr>
        <w:instrText xml:space="preserve"> HYPERLINK "https://orcid.org/0000-0002-6101-2684"</w:instrText>
      </w:r>
      <w:r>
        <w:rPr>
          <w:rFonts w:ascii="Times New Roman" w:cs="Times New Roman" w:hAnsi="Times New Roman" w:eastAsia="Times New Roman"/>
          <w:outline w:val="0"/>
          <w:color w:val="0072b4"/>
          <w:shd w:val="clear" w:color="auto" w:fill="ffffff"/>
          <w:rtl w:val="0"/>
          <w14:textFill>
            <w14:solidFill>
              <w14:srgbClr w14:val="0072B5"/>
            </w14:solidFill>
          </w14:textFill>
        </w:rPr>
        <w:fldChar w:fldCharType="separate" w:fldLock="0"/>
      </w:r>
      <w:r>
        <w:rPr>
          <w:rFonts w:ascii="Times New Roman" w:hAnsi="Times New Roman"/>
          <w:outline w:val="0"/>
          <w:color w:val="0072b4"/>
          <w:shd w:val="clear" w:color="auto" w:fill="ffffff"/>
          <w:rtl w:val="0"/>
          <w:lang w:val="en-US"/>
          <w14:textFill>
            <w14:solidFill>
              <w14:srgbClr w14:val="0072B5"/>
            </w14:solidFill>
          </w14:textFill>
        </w:rPr>
        <w:t>https://orcid.org/0000-0002-6101-2684</w:t>
      </w:r>
      <w:r>
        <w:rPr>
          <w:rFonts w:ascii="Times New Roman" w:cs="Times New Roman" w:hAnsi="Times New Roman" w:eastAsia="Times New Roman"/>
          <w:outline w:val="0"/>
          <w:color w:val="0072b4"/>
          <w:shd w:val="clear" w:color="auto" w:fill="ffffff"/>
          <w:rtl w:val="0"/>
          <w14:textFill>
            <w14:solidFill>
              <w14:srgbClr w14:val="0072B5"/>
            </w14:solidFill>
          </w14:textFill>
        </w:rPr>
        <w:fldChar w:fldCharType="end" w:fldLock="0"/>
      </w:r>
    </w:p>
    <w:p>
      <w:pPr>
        <w:pStyle w:val="Domyślne"/>
        <w:bidi w:val="0"/>
        <w:spacing w:before="0" w:line="240" w:lineRule="auto"/>
        <w:ind w:left="0" w:right="0" w:firstLine="0"/>
        <w:jc w:val="left"/>
        <w:rPr>
          <w:rtl w:val="0"/>
        </w:rPr>
      </w:pPr>
      <w:r>
        <w:rPr>
          <w:rFonts w:ascii="Times New Roman" w:hAnsi="Times New Roman"/>
          <w:outline w:val="0"/>
          <w:color w:val="242424"/>
          <w:shd w:val="clear" w:color="auto" w:fill="ffffff"/>
          <w:rtl w:val="0"/>
          <w14:textFill>
            <w14:solidFill>
              <w14:srgbClr w14:val="242424"/>
            </w14:solidFill>
          </w14:textFill>
        </w:rPr>
        <w:t>Email:</w:t>
      </w:r>
      <w:r>
        <w:rPr>
          <w:rFonts w:ascii="Times New Roman" w:hAnsi="Times New Roman" w:hint="default"/>
          <w:outline w:val="0"/>
          <w:color w:val="242424"/>
          <w:shd w:val="clear" w:color="auto" w:fill="ffffff"/>
          <w:rtl w:val="0"/>
          <w14:textFill>
            <w14:solidFill>
              <w14:srgbClr w14:val="242424"/>
            </w14:solidFill>
          </w14:textFill>
        </w:rPr>
        <w:t> </w:t>
      </w:r>
      <w:r>
        <w:rPr>
          <w:rFonts w:ascii="Times New Roman" w:hAnsi="Times New Roman"/>
          <w:outline w:val="0"/>
          <w:color w:val="242424"/>
          <w:shd w:val="clear" w:color="auto" w:fill="ffffff"/>
          <w:rtl w:val="0"/>
          <w14:textFill>
            <w14:solidFill>
              <w14:srgbClr w14:val="242424"/>
            </w14:solidFill>
          </w14:textFill>
        </w:rPr>
        <w:t>thu.ngo@unsw.edu.au</w:t>
      </w:r>
      <w:r>
        <w:rPr>
          <w:rFonts w:ascii="Times New Roman" w:cs="Times New Roman" w:hAnsi="Times New Roman" w:eastAsia="Times New Roman"/>
          <w:outline w:val="0"/>
          <w:color w:val="242424"/>
          <w:shd w:val="clear" w:color="auto" w:fill="ffffff"/>
          <w:rtl w:val="0"/>
          <w14:textFill>
            <w14:solidFill>
              <w14:srgbClr w14:val="242424"/>
            </w14:solidFill>
          </w14:textFill>
        </w:rPr>
      </w:r>
    </w:p>
    <w:sectPr>
      <w:headerReference w:type="default" r:id="rId4"/>
      <w:footerReference w:type="default" r:id="rId5"/>
      <w:pgSz w:w="11900" w:h="16840" w:orient="portrait"/>
      <w:pgMar w:top="1134" w:right="1440" w:bottom="1134" w:left="1440" w:header="709" w:footer="709"/>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Aptos">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footer"/>
      <w:tabs>
        <w:tab w:val="right" w:pos="9000"/>
        <w:tab w:val="clear" w:pos="9026"/>
      </w:tabs>
      <w:jc w:val="right"/>
    </w:pPr>
    <w:r>
      <w:rPr>
        <w:rtl w:val="0"/>
      </w:rPr>
      <w:fldChar w:fldCharType="begin" w:fldLock="0"/>
    </w:r>
    <w:r>
      <w:rPr>
        <w:rtl w:val="0"/>
      </w:rPr>
      <w:instrText xml:space="preserve"> PAGE </w:instrText>
    </w:r>
    <w:r>
      <w:rPr>
        <w:rtl w:val="0"/>
      </w:rPr>
      <w:fldChar w:fldCharType="separate" w:fldLock="0"/>
    </w:r>
    <w:r>
      <w:rPr>
        <w:rtl w:val="0"/>
      </w:rPr>
    </w:r>
    <w:r>
      <w:rPr>
        <w:rtl w:val="0"/>
      </w:rPr>
      <w:fldChar w:fldCharType="end" w:fldLock="0"/>
    </w:r>
    <w:r>
      <w:rPr>
        <w:rStyle w:val="page number"/>
      </w:rPr>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Nagłówek i stopka"/>
      <w:bidi w:val="0"/>
    </w:pPr>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polski" w:val="‘“(〔[{〈《「『【⦅〘〖«〝︵︷︹︻︽︿﹁﹃﹇﹙﹛﹝｢"/>
  <w:noLineBreaksBefore w:lang="polski"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Nagłówek i stopka">
    <w:name w:val="Nagłówek i stopka"/>
    <w:next w:val="Nagłówek i stopka"/>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paragraph" w:styleId="footer">
    <w:name w:val="footer"/>
    <w:next w:val="footer"/>
    <w:pPr>
      <w:keepNext w:val="0"/>
      <w:keepLines w:val="0"/>
      <w:pageBreakBefore w:val="0"/>
      <w:widowControl w:val="1"/>
      <w:shd w:val="clear" w:color="auto" w:fill="auto"/>
      <w:tabs>
        <w:tab w:val="center" w:pos="4513"/>
        <w:tab w:val="right" w:pos="9026"/>
      </w:tabs>
      <w:suppressAutoHyphens w:val="0"/>
      <w:bidi w:val="0"/>
      <w:spacing w:before="0" w:after="0" w:line="240" w:lineRule="auto"/>
      <w:ind w:left="0" w:right="0" w:firstLine="0"/>
      <w:jc w:val="left"/>
      <w:outlineLvl w:val="9"/>
    </w:pPr>
    <w:rPr>
      <w:rFonts w:ascii="Aptos" w:cs="Aptos" w:hAnsi="Aptos" w:eastAsia="Aptos"/>
      <w:b w:val="0"/>
      <w:bCs w:val="0"/>
      <w:i w:val="0"/>
      <w:iCs w:val="0"/>
      <w:caps w:val="0"/>
      <w:smallCaps w:val="0"/>
      <w:strike w:val="0"/>
      <w:dstrike w:val="0"/>
      <w:outline w:val="0"/>
      <w:color w:val="000000"/>
      <w:spacing w:val="0"/>
      <w:kern w:val="2"/>
      <w:position w:val="0"/>
      <w:sz w:val="24"/>
      <w:szCs w:val="24"/>
      <w:u w:val="none" w:color="000000"/>
      <w:shd w:val="nil" w:color="auto" w:fill="auto"/>
      <w:vertAlign w:val="baseline"/>
      <w:lang w:val="en-US"/>
      <w14:textFill>
        <w14:solidFill>
          <w14:srgbClr w14:val="000000"/>
        </w14:solidFill>
      </w14:textFill>
    </w:rPr>
  </w:style>
  <w:style w:type="character" w:styleId="page number">
    <w:name w:val="page number"/>
  </w:style>
  <w:style w:type="paragraph" w:styleId="Treść">
    <w:name w:val="Treść"/>
    <w:next w:val="Treść"/>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Aptos" w:cs="Aptos" w:hAnsi="Aptos" w:eastAsia="Aptos"/>
      <w:b w:val="0"/>
      <w:bCs w:val="0"/>
      <w:i w:val="0"/>
      <w:iCs w:val="0"/>
      <w:caps w:val="0"/>
      <w:smallCaps w:val="0"/>
      <w:strike w:val="0"/>
      <w:dstrike w:val="0"/>
      <w:outline w:val="0"/>
      <w:color w:val="000000"/>
      <w:spacing w:val="0"/>
      <w:kern w:val="2"/>
      <w:position w:val="0"/>
      <w:sz w:val="24"/>
      <w:szCs w:val="24"/>
      <w:u w:val="none" w:color="000000"/>
      <w:shd w:val="nil" w:color="auto" w:fill="auto"/>
      <w:vertAlign w:val="baseline"/>
      <w:lang w:val="en-US"/>
      <w14:textOutline>
        <w14:noFill/>
      </w14:textOutline>
      <w14:textFill>
        <w14:solidFill>
          <w14:srgbClr w14:val="000000"/>
        </w14:solidFill>
      </w14:textFill>
    </w:rPr>
  </w:style>
  <w:style w:type="paragraph" w:styleId="Domyślne A">
    <w:name w:val="Domyślne A"/>
    <w:next w:val="Domyślne A"/>
    <w:pPr>
      <w:keepNext w:val="0"/>
      <w:keepLines w:val="0"/>
      <w:pageBreakBefore w:val="0"/>
      <w:widowControl w:val="1"/>
      <w:shd w:val="clear" w:color="auto" w:fill="auto"/>
      <w:suppressAutoHyphens w:val="0"/>
      <w:bidi w:val="0"/>
      <w:spacing w:before="160" w:after="0" w:line="288"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lang w:val="en-US"/>
      <w14:textOutline w14:w="12700" w14:cap="flat">
        <w14:noFill/>
        <w14:miter w14:lim="400000"/>
      </w14:textOutline>
      <w14:textFill>
        <w14:solidFill>
          <w14:srgbClr w14:val="000000"/>
        </w14:solidFill>
      </w14:textFill>
    </w:rPr>
  </w:style>
  <w:style w:type="paragraph" w:styleId="EndNote Bibliography">
    <w:name w:val="EndNote Bibliography"/>
    <w:next w:val="EndNote Bibliograph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2"/>
      <w:position w:val="0"/>
      <w:sz w:val="24"/>
      <w:szCs w:val="24"/>
      <w:u w:val="none" w:color="000000"/>
      <w:shd w:val="nil" w:color="auto" w:fill="auto"/>
      <w:vertAlign w:val="baseline"/>
      <w:lang w:val="en-US"/>
      <w14:textFill>
        <w14:solidFill>
          <w14:srgbClr w14:val="000000"/>
        </w14:solidFill>
      </w14:textFill>
    </w:rPr>
  </w:style>
  <w:style w:type="paragraph" w:styleId="Domyślne">
    <w:name w:val="Domyślne"/>
    <w:next w:val="Domyślne"/>
    <w:pPr>
      <w:keepNext w:val="0"/>
      <w:keepLines w:val="0"/>
      <w:pageBreakBefore w:val="0"/>
      <w:widowControl w:val="1"/>
      <w:shd w:val="clear" w:color="auto" w:fill="auto"/>
      <w:suppressAutoHyphens w:val="0"/>
      <w:bidi w:val="0"/>
      <w:spacing w:before="160" w:after="0" w:line="288"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lang w:val="en-US"/>
      <w14:textOutline>
        <w14:noFill/>
      </w14:textOutline>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Office Theme">
  <a:themeElements>
    <a:clrScheme name="Office Theme">
      <a:dk1>
        <a:srgbClr val="000000"/>
      </a:dk1>
      <a:lt1>
        <a:srgbClr val="FFFFFF"/>
      </a:lt1>
      <a:dk2>
        <a:srgbClr val="A7A7A7"/>
      </a:dk2>
      <a:lt2>
        <a:srgbClr val="535353"/>
      </a:lt2>
      <a:accent1>
        <a:srgbClr val="156082"/>
      </a:accent1>
      <a:accent2>
        <a:srgbClr val="E97132"/>
      </a:accent2>
      <a:accent3>
        <a:srgbClr val="196B24"/>
      </a:accent3>
      <a:accent4>
        <a:srgbClr val="0F9ED5"/>
      </a:accent4>
      <a:accent5>
        <a:srgbClr val="A02B93"/>
      </a:accent5>
      <a:accent6>
        <a:srgbClr val="4EA72E"/>
      </a:accent6>
      <a:hlink>
        <a:srgbClr val="0000FF"/>
      </a:hlink>
      <a:folHlink>
        <a:srgbClr val="FF00FF"/>
      </a:folHlink>
    </a:clrScheme>
    <a:fontScheme name="Office Theme">
      <a:majorFont>
        <a:latin typeface="Helvetica Neue"/>
        <a:ea typeface="Helvetica Neue"/>
        <a:cs typeface="Helvetica Neue"/>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effectLst/>
        <a:sp3d/>
      </a:spPr>
      <a:bodyPr rot="0" spcFirstLastPara="1" vertOverflow="overflow" horzOverflow="overflow" vert="horz" wrap="square" lIns="45719" tIns="45719" rIns="45719" bIns="45719" numCol="1" spcCol="38100" rtlCol="0" anchor="ctr"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Aptos"/>
            <a:ea typeface="Aptos"/>
            <a:cs typeface="Aptos"/>
            <a:sym typeface="Aptos"/>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12700" cap="flat">
          <a:solidFill>
            <a:schemeClr val="accent1"/>
          </a:solidFill>
          <a:prstDash val="solid"/>
          <a:miter lim="8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Aptos"/>
            <a:ea typeface="Aptos"/>
            <a:cs typeface="Aptos"/>
            <a:sym typeface="Aptos"/>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